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E1" w:rsidRPr="00B42116" w:rsidRDefault="004859E1" w:rsidP="004859E1">
      <w:pPr>
        <w:ind w:left="-108" w:right="-108"/>
        <w:jc w:val="center"/>
        <w:rPr>
          <w:b/>
          <w:sz w:val="36"/>
          <w:szCs w:val="32"/>
        </w:rPr>
      </w:pPr>
      <w:r>
        <w:rPr>
          <w:b/>
          <w:sz w:val="36"/>
          <w:szCs w:val="32"/>
        </w:rPr>
        <w:t>QUY TRÌNH</w:t>
      </w:r>
    </w:p>
    <w:p w:rsidR="004859E1" w:rsidRDefault="004859E1" w:rsidP="004859E1">
      <w:pPr>
        <w:shd w:val="clear" w:color="auto" w:fill="FFFFFF"/>
        <w:spacing w:after="100" w:afterAutospacing="1" w:line="360" w:lineRule="atLeast"/>
        <w:jc w:val="center"/>
        <w:outlineLvl w:val="2"/>
        <w:rPr>
          <w:rFonts w:ascii="Roboto" w:hAnsi="Roboto"/>
          <w:color w:val="1C3691"/>
          <w:sz w:val="36"/>
          <w:szCs w:val="36"/>
        </w:rPr>
      </w:pPr>
      <w:r w:rsidRPr="004D2559">
        <w:rPr>
          <w:b/>
          <w:color w:val="000000"/>
          <w:sz w:val="32"/>
          <w:szCs w:val="32"/>
        </w:rPr>
        <w:t xml:space="preserve">THỦ TỤC TÀU </w:t>
      </w:r>
      <w:r>
        <w:rPr>
          <w:b/>
          <w:color w:val="000000"/>
          <w:sz w:val="32"/>
          <w:szCs w:val="32"/>
        </w:rPr>
        <w:t>THUYỀN VIỆT NAM VÀ TÀU THUYỀN NƯỚC NGOÀI XUẤT CẢNH</w:t>
      </w:r>
    </w:p>
    <w:p w:rsidR="004859E1" w:rsidRPr="004859E1" w:rsidRDefault="004859E1" w:rsidP="004859E1">
      <w:pPr>
        <w:shd w:val="clear" w:color="auto" w:fill="FFFFFF"/>
        <w:spacing w:after="100" w:afterAutospacing="1" w:line="360" w:lineRule="atLeast"/>
        <w:outlineLvl w:val="2"/>
        <w:rPr>
          <w:rFonts w:ascii="Roboto" w:hAnsi="Roboto"/>
          <w:color w:val="1C3691"/>
          <w:sz w:val="36"/>
          <w:szCs w:val="36"/>
        </w:rPr>
      </w:pPr>
      <w:r w:rsidRPr="004859E1">
        <w:rPr>
          <w:rFonts w:ascii="Roboto" w:hAnsi="Roboto"/>
          <w:color w:val="1C3691"/>
          <w:sz w:val="36"/>
          <w:szCs w:val="36"/>
        </w:rPr>
        <w:t>Tàu thuyền xuất cảnh</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1. Trình tự thực hiện:</w:t>
      </w:r>
      <w:bookmarkStart w:id="0" w:name="_GoBack"/>
      <w:bookmarkEnd w:id="0"/>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a) Nộp hồ sơ TTHC:</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Chậm nhất 02 giờ trước khi tàu biển rời cảng, người làm thủ tục thông báo trực tiếp hoặc qua các phương tiện thông tin liên lạc khác cho Cảng vụ hàng hải.</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Chậm nhất 02 giờ trước khi tàu biển rời cảng; riêng tàu chở khách và tàu chuyên tuyến, chậm nhất ngay trước thời điểm tàu biển dự kiến rời cảng, người làm thủ tục nộp, xuất trình các giấy tờ, tài liệu của tàu theo quy định.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b) Giải quyết TTHC:</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Cảng vụ hàng hải có trách nhiệm thông báo cho các tổ chức liên quan biết thông tin về việc tàu biển xuất cảnh để thực hiện thủ tục và phối hợp triển khai điều động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Cảng vụ hàng hải xử lý, giải quyết hồ sơ đối với tàu thuyền, giấy chứng nhận khả năng chuyên môn của thuyền viên và là cơ quan quyết định cuối cùng cho tàu thuyền xuất cảnh;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Hải quan cửa khẩu xử lý, giải quyết hồ sơ đối với hàng hóa, hành lý, nguyên, nhiên vật liệu trên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Biên phòng cửa khẩu xử lý, giải quyết hồ sơ đối với thuyền viên, hành khách, người đi theo tàu, người trốn trên tàu và người lên, xuống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Kiểm dịch y tế xử lý, giải quyết hồ sơ đối với bệnh dịch liên quan đến con người;</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Kiểm dịch động vật xử lý, giải quyết hồ sơ đối với động vật trên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Kiểm dịch thực vật xử lý, giải quyết hồ sơ đối với thực vật chở trên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 cho tàu biển; trường hợp tàu biển chưa hoàn thành thủ tục phải thông báo và nêu rõ lý do.</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Trường hợp tàu biển đã được cấp giấy phép rời cảng mà vẫn lưu lại tại cảng quá 24 giờ kể từ thời điểm tàu biển được phép rời cảng, tàu biển đó phải làm lại thủ tục xuất cảnh theo quy định.</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lastRenderedPageBreak/>
        <w:t>2.  Cách thức thực hiện:</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Gửi Thông báo tàu thuyền rời cảng theo quy định bằng Fax, khai báo điện tử, nộp trực tiếp hoặc thông qua hệ thống bưu chính.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3. Thành phần, số lượng hồ sơ:</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a) Thành phần hồ sơ:</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Các giấy tờ phải nộp (bản chính), mỗi loại 01 bản, gồm:</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Nộp cho Cảng vụ hàng hải: Bản khai chung theo mẫu, Danh sách thuyền viên (nếu thay đổi so với khi đến) theo mẫu, Danh sách hành khách (nếu thay đổi so với khi đến) theo mẫu, Bản khai hàng hóa nguy hiểm (nếu có) theo mẫu;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Nộp cho Biên phòng cửa khẩu: Bản khai chung theo mẫu, Danh sách thuyền viên (nếu thay đổi so với khi đến) theo mẫu, Danh sách hành khách (nếu thay đổi so với khi đến) theo mẫu, Bản khai vũ khí và vật liệu nổ (nếu có) theo mẫu và Bản khai người trốn trên tàu (nếu có) theo mẫu;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Nộp cho Hải quan cửa khẩu: Bản khai chung theo mẫu, Danh sách thuyền viên (nếu thay đổi so với khi đến) theo mẫu, Bản khai hàng hóa (nếu có) theo mẫu, Bản khai hàng hóa nguy hiểm (nếu có) theo mẫu, Bản khai dự trữ của tàu theo mẫu, Bản khai hành lý phải nộp thuế, bị cấm hoặc hạn chế của hành khách, thuyền viên, người đi theo tàu (nếu có) theo mẫu.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Không áp dụng thủ tục khai báo hải quan đối với hành lý của hành khách trên tàu khách nước ngoài đến cảng và sau đó rời cảng trong cùng một chuyến;</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Nộp cho Kiểm dịch y tế: Giấy khai báo y tế, thi thể, hài cốt, tro cốt (nếu có) theo mẫu, Giấy khai báo y tế mẫu vi sinh y học, sản phẩm sinh học, mô, bộ phận cơ thể người (nếu có) theo mẫu;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Những giấy tờ do các cơ quan quản lý nhà nước chuyên ngành đã cấp cho tàu, thuyền viên và hành khách để thu hồi.</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Các giấy tờ phải xuất trình (bản chính), bao gồm:</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Trình Cảng vụ hàng hải: Các giấy chứng nhận của tàu nếu thay đổi so với khi đến, Chứng chỉ chuyên môn của thuyền viên (nếu có thay đổi so với khi đến), Sổ thuyền viên (nếu có thay đổi thuyền viên), các giấy tờ liên quan đến xác nhận việc nộp phí, lệ phí, tiền phạt hoặc thanh toán các khoản nợ (nếu có) theo quy định của pháp luật;</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lastRenderedPageBreak/>
        <w:t>+ Trình Biên phòng cửa khẩu: Hộ chiếu hoặc giấy tờ có giá trị đi lại quốc tế của thuyền viên, hành khách;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Trình Kiểm dịch y tế: Phiếu tiêm chủng quốc tế của thuyền viên, hành khách (trong trường hợp xuất phát hoặc đi qua vùng có dịch hoặc bị nghi ngờ mắc bệnh hoặc tác nhân gây bệnh truyền nhiễm), Giấy chứng nhận kiểm dịch y tế (nếu có thay đổi), Giấy chứng nhận miễn xử lý vệ sinh tàu thuyền/Chứng nhận xử lý vệ sinh tàu thuyền (nếu có);</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Trình Kiểm dịch động vật: Giấy chứng nhận kiểm dịch động vật (trong trường hợp nước nhập cảnh tiếp theo yêu cầu).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b) Số lượng hồ sơ: 01 bộ.      </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4. Thời hạn giải quyết:</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w:t>
      </w:r>
    </w:p>
    <w:p w:rsidR="004859E1" w:rsidRPr="004859E1" w:rsidRDefault="004859E1" w:rsidP="00993819">
      <w:pPr>
        <w:shd w:val="clear" w:color="auto" w:fill="FFFFFF"/>
        <w:spacing w:before="120" w:after="120"/>
        <w:ind w:firstLine="567"/>
        <w:jc w:val="both"/>
        <w:rPr>
          <w:color w:val="333333"/>
          <w:sz w:val="28"/>
          <w:szCs w:val="28"/>
        </w:rPr>
      </w:pPr>
      <w:r w:rsidRPr="004859E1">
        <w:rPr>
          <w:b/>
          <w:color w:val="333333"/>
          <w:sz w:val="28"/>
          <w:szCs w:val="28"/>
        </w:rPr>
        <w:t>5. Đối tượng thực hiện TTHC:</w:t>
      </w:r>
      <w:r w:rsidRPr="004859E1">
        <w:rPr>
          <w:color w:val="333333"/>
          <w:sz w:val="28"/>
          <w:szCs w:val="28"/>
        </w:rPr>
        <w:t xml:space="preserve"> Người làm thủ tục.</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Người làm thủ tục là chủ tàu hoặc người quản lý tàu, người thuê tàu, người khai thác tàu, thuyền trưởng hoặc người được ủy quyền thực hiện việc khai báo và làm thủ tục theo quy định tại Nghị định này với các cơ quan quản lý nhà nước tại cảng biển.</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6. Cơ quan thực hiện TTHC:</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a) Cơ quan có thẩm quyền quyết định: Cảng vụ hàng hải hoặc Đại diện Cảng vụ hàng hải; </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b) Cơ quan hoặc người có thẩm quyền được ủy quyền hoặc phân cấp thực hiện: Không có;</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c) Cơ quan trực tiếp thực hiện thủ tục hành chính: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Cảng vụ hàng hải hoặc Đại diện Cảng vụ hàng hải;</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Biên phòng cửa khẩu;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Hải quan cửa khẩu;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Kiểm dịch y tế;</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Kiểm dịch thực vật;</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Kiểm dịch động vật.</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d) Cơ quan phối hợp: Biên phòng cửa khẩu, Hải quan cửa khẩu, Kiểm dịch y tế, Kiểm dịch thực vật, Kiểm dịch động vật.</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7. Kết quả của việc thực hiện TTHC:</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lastRenderedPageBreak/>
        <w:t>Giấy phép rời cảng.</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8. Phí, lệ phí:</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Các loại phí:</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Phí trọng tải tàu, thuyền: theo biểu phí quy định tại Điều 7 Thông tư số 261/2016/TT-BTC ngày 14/11/2016 của Bộ trưởng Bộ Tài chính;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Phí bảo đảm hàng hải: theo biểu phí quy định tại Điều 8 Thông tư số 261/2016/TT-BTC ngày 14/11/2016 của Bộ trưởng Bộ Tài chính;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Phí sử dụng vị trí neo, đậu tại khu nước, vùng nước: theo biểu phí quy định tại Điều 9 Thông tư số 261/2016/TT-BTC ngày 14/11/2016 của Bộ trưởng Bộ Tài chính.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Lệ phí rời cảng biển: theo quy định tại Điều 11 Thông tư số 261/2016/TT-BTC ngày 14/11/2016 của Bộ trưởng Bộ Tài chính.</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9. Tên mẫu đơn, mẫu tờ khai hành chính: </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Thông báo tàu rời cảng.</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chung;</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Xác báo tàu đến cảng;</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Danh sách thuyền viên;</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Danh sách hành khách;</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hàng hóa nguy hiểm;</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vũ khí vật liệu nổ;</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người trốn trên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hàng hóa;</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dự trữ của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Bản khai hành lý phải nộp thuế, bị cấm hoặc hạn chế của hành khách, thuyền viên, người đi theo tàu;</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Giấy khai báo y tế, thi thể, hài cốt, tro cốt;</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Giấy khai báo y tế mẫu vi sinh y học, sản phẩm sinh học, mô, bộ phận cơ thể người;</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w:t>
      </w:r>
    </w:p>
    <w:p w:rsidR="004859E1" w:rsidRPr="004859E1" w:rsidRDefault="004859E1" w:rsidP="00993819">
      <w:pPr>
        <w:shd w:val="clear" w:color="auto" w:fill="FFFFFF"/>
        <w:spacing w:before="120" w:after="120"/>
        <w:ind w:firstLine="567"/>
        <w:jc w:val="both"/>
        <w:rPr>
          <w:color w:val="333333"/>
          <w:sz w:val="28"/>
          <w:szCs w:val="28"/>
        </w:rPr>
      </w:pPr>
      <w:r w:rsidRPr="004859E1">
        <w:rPr>
          <w:b/>
          <w:color w:val="333333"/>
          <w:sz w:val="28"/>
          <w:szCs w:val="28"/>
        </w:rPr>
        <w:t>10. Yêu cầu, điều kiện thực hiện TTHC:</w:t>
      </w:r>
      <w:r w:rsidRPr="004859E1">
        <w:rPr>
          <w:color w:val="333333"/>
          <w:sz w:val="28"/>
          <w:szCs w:val="28"/>
        </w:rPr>
        <w:t xml:space="preserve"> Không có.</w:t>
      </w:r>
    </w:p>
    <w:p w:rsidR="004859E1" w:rsidRPr="004859E1" w:rsidRDefault="004859E1" w:rsidP="00993819">
      <w:pPr>
        <w:shd w:val="clear" w:color="auto" w:fill="FFFFFF"/>
        <w:spacing w:before="120" w:after="120"/>
        <w:ind w:firstLine="567"/>
        <w:jc w:val="both"/>
        <w:rPr>
          <w:b/>
          <w:color w:val="333333"/>
          <w:sz w:val="28"/>
          <w:szCs w:val="28"/>
        </w:rPr>
      </w:pPr>
      <w:r w:rsidRPr="004859E1">
        <w:rPr>
          <w:b/>
          <w:color w:val="333333"/>
          <w:sz w:val="28"/>
          <w:szCs w:val="28"/>
        </w:rPr>
        <w:t>11.  Căn cứ pháp lý của TTHC:</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Bộ luật Hàng hải Việt Nam ngày 25/11/2015.</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lastRenderedPageBreak/>
        <w:t>- Nghị định số 58/2017/NĐ-CP ngày 10/5/2017 của Chính phủ quy định chi tiết một số điều của Bộ luật Hàng hải Việt Nam về quản lý hoạt động hàng hải.</w:t>
      </w:r>
    </w:p>
    <w:p w:rsidR="004859E1" w:rsidRPr="004859E1" w:rsidRDefault="004859E1" w:rsidP="00993819">
      <w:pPr>
        <w:shd w:val="clear" w:color="auto" w:fill="FFFFFF"/>
        <w:spacing w:before="120" w:after="120"/>
        <w:ind w:firstLine="567"/>
        <w:jc w:val="both"/>
        <w:rPr>
          <w:color w:val="333333"/>
          <w:sz w:val="28"/>
          <w:szCs w:val="28"/>
        </w:rPr>
      </w:pPr>
      <w:r w:rsidRPr="004859E1">
        <w:rPr>
          <w:color w:val="333333"/>
          <w:sz w:val="28"/>
          <w:szCs w:val="28"/>
        </w:rPr>
        <w:t>- Thông tư số 261/2016/TT-BTC ngày 05/01/2016 của Bộ trưởng Bộ Tài chính quy định về phí, lệ phí hàng hải và biểu mức thu phí, lệ phí hàng hải.</w:t>
      </w:r>
    </w:p>
    <w:p w:rsidR="004859E1" w:rsidRDefault="004859E1" w:rsidP="004859E1">
      <w:pPr>
        <w:jc w:val="center"/>
      </w:pPr>
    </w:p>
    <w:sectPr w:rsidR="004859E1"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E1"/>
    <w:rsid w:val="004859E1"/>
    <w:rsid w:val="00993819"/>
    <w:rsid w:val="009A0D18"/>
    <w:rsid w:val="00A82055"/>
    <w:rsid w:val="00B7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FEDF"/>
  <w15:chartTrackingRefBased/>
  <w15:docId w15:val="{6ACFF0B0-C0F0-4F02-9B91-953F6D79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E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859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59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59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8862">
      <w:bodyDiv w:val="1"/>
      <w:marLeft w:val="0"/>
      <w:marRight w:val="0"/>
      <w:marTop w:val="0"/>
      <w:marBottom w:val="0"/>
      <w:divBdr>
        <w:top w:val="none" w:sz="0" w:space="0" w:color="auto"/>
        <w:left w:val="none" w:sz="0" w:space="0" w:color="auto"/>
        <w:bottom w:val="none" w:sz="0" w:space="0" w:color="auto"/>
        <w:right w:val="none" w:sz="0" w:space="0" w:color="auto"/>
      </w:divBdr>
      <w:divsChild>
        <w:div w:id="835460947">
          <w:marLeft w:val="0"/>
          <w:marRight w:val="0"/>
          <w:marTop w:val="0"/>
          <w:marBottom w:val="0"/>
          <w:divBdr>
            <w:top w:val="none" w:sz="0" w:space="0" w:color="auto"/>
            <w:left w:val="none" w:sz="0" w:space="0" w:color="auto"/>
            <w:bottom w:val="none" w:sz="0" w:space="0" w:color="auto"/>
            <w:right w:val="none" w:sz="0" w:space="0" w:color="auto"/>
          </w:divBdr>
          <w:divsChild>
            <w:div w:id="1354763179">
              <w:marLeft w:val="0"/>
              <w:marRight w:val="0"/>
              <w:marTop w:val="0"/>
              <w:marBottom w:val="0"/>
              <w:divBdr>
                <w:top w:val="none" w:sz="0" w:space="0" w:color="auto"/>
                <w:left w:val="none" w:sz="0" w:space="0" w:color="auto"/>
                <w:bottom w:val="none" w:sz="0" w:space="0" w:color="auto"/>
                <w:right w:val="none" w:sz="0" w:space="0" w:color="auto"/>
              </w:divBdr>
              <w:divsChild>
                <w:div w:id="1596018365">
                  <w:marLeft w:val="0"/>
                  <w:marRight w:val="0"/>
                  <w:marTop w:val="0"/>
                  <w:marBottom w:val="0"/>
                  <w:divBdr>
                    <w:top w:val="none" w:sz="0" w:space="0" w:color="auto"/>
                    <w:left w:val="none" w:sz="0" w:space="0" w:color="auto"/>
                    <w:bottom w:val="none" w:sz="0" w:space="0" w:color="auto"/>
                    <w:right w:val="none" w:sz="0" w:space="0" w:color="auto"/>
                  </w:divBdr>
                  <w:divsChild>
                    <w:div w:id="460542110">
                      <w:marLeft w:val="0"/>
                      <w:marRight w:val="0"/>
                      <w:marTop w:val="0"/>
                      <w:marBottom w:val="0"/>
                      <w:divBdr>
                        <w:top w:val="none" w:sz="0" w:space="0" w:color="auto"/>
                        <w:left w:val="none" w:sz="0" w:space="0" w:color="auto"/>
                        <w:bottom w:val="none" w:sz="0" w:space="0" w:color="auto"/>
                        <w:right w:val="none" w:sz="0" w:space="0" w:color="auto"/>
                      </w:divBdr>
                      <w:divsChild>
                        <w:div w:id="1154562536">
                          <w:marLeft w:val="0"/>
                          <w:marRight w:val="0"/>
                          <w:marTop w:val="0"/>
                          <w:marBottom w:val="0"/>
                          <w:divBdr>
                            <w:top w:val="none" w:sz="0" w:space="0" w:color="auto"/>
                            <w:left w:val="none" w:sz="0" w:space="0" w:color="auto"/>
                            <w:bottom w:val="none" w:sz="0" w:space="0" w:color="auto"/>
                            <w:right w:val="none" w:sz="0" w:space="0" w:color="auto"/>
                          </w:divBdr>
                          <w:divsChild>
                            <w:div w:id="18256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2021-03-03T08:50:00Z</dcterms:created>
  <dcterms:modified xsi:type="dcterms:W3CDTF">2021-03-03T09:00:00Z</dcterms:modified>
</cp:coreProperties>
</file>